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jul15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aststelling-agenda/jul15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auditcommissie bij de jaarstukken gemeente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6-juli/19:30/Voorstel-inzake-vaststellen-jaarstukken-2023-Dinkelland/Verslag-auditcommissie-bij-de-jaarstukken-gemeente-Dinkellan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jul16 agenda def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6-juli/19:30/Vaststelling-agenda/jul16-agenda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Jaarstukken 2023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6-juli/19:30/Voorstel-inzake-vaststellen-jaarstukken-2023-Dinkelland/Jaarstukken-2023-Dinkell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Spreekrecht mevrouw Koster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transformatie-museum-Natura-Docet/Spreekrecht-mevrouw-Kos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Tussenbalans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6-juli/19:30/Voorstel-inzake-vaststellen-perspectiefnota-2025/Tussenbalans-2024-Dinkel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Begrotingsadvies 2025-2028 deel 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6-juli/19:30/Voorstel-inzake-vaststellen-perspectiefnota-2025/Begrotingsadvies-2025-2028-deel-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Plus-en-minpunten-fonds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Oplegnotitie Gemeentelijke Verduurzamingsregeling tbv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Oplegnotitie-Gemeentelijke-Verduurzamingsregeling-tbv-gemeenteraa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Oplegnotitie bij raadsvoorstel GVR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Oplegnotitie-bij-raadsvoorstel-GVR-jun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17 Model_Contract_DWP_gemeente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7-Model-Contract-DWP-gemeent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16 Inzet GVR en baatbelasting binnen de wijkgerichte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6-Inzet-GVR-en-baatbelasting-binnen-de-wijkgerichte-warmtetransit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15 Overzicht geldstromen binnen de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5-Overzicht-geldstromen-binnen-de-GVR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14 'de GVR getoetst' ESBL _ EY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4-de-GVR-getoetst-ESBL-EY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13 Infographic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3-Infographic-GVR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12 CBS cijfers_Warmtefonds_ISDE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2-CBS-cijfers-Warmtefonds-ISD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11 Vervolgstappen in detail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1-Vervolgstappen-in-detai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10 Kohier notitie rechterlijke toetsing en publiek belang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0-Kohier-notitie-rechterlijke-toetsing-en-publiek-belang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9 Fiscaliade rapport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9-Fiscaliade-rappor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8 Risicoanalyse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8-Risicoanalyse-GVR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7 Alle argumenten GVR volledig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7-Alle-argumenten-GVR-volledig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6 Vragen en antwoorden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6-Vragen-en-antwoorden-GVR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5 Gebouwgebonden bekostigingsinstrument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5-Gebouwgebonden-bekostigingsinstrument-GVR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4 De GVR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4-De-GVR-op-hoofdlijn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Management Samenvatting Independ Minds BZK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3-Management-Samenvatting-Independ-Minds-BZK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Final PPT 22-11 OGO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2-Final-PPT-22-11-OGO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Lijst plus- en minpunten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ijlage-1-Lijst-plus-en-minpunten-fonds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commissie inzake Gemeentelijke Verduurzamings Regeling (GVR)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eantwoording-vragen-commissie-inzake-Gemeentelijke-Verduurzamings-Regeling-GVR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vragen commissie inzake Gemeentelijke Verduurzamings Regeling (GVR)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eantwoording-vragen-commissie-inzake-Gemeentelijke-Verduurzamings-Regeling-GV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vragen Burgerbelangen inzake GVR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eantwoording-vragen-Burgerbelangen-inzake-GVR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Businesscase-2024_bijlage 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transformatie-museum-Natura-Docet/Businesscase-2024-bijlage-3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Businesscase-2024_bijlage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transformatie-museum-Natura-Docet/Businesscase-2024-bijlage-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Businesscase-2024_bijlage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transformatie-museum-Natura-Docet/Businesscase-2024-bijlage-1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Businesscase-2024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transformatie-museum-Natura-Docet/Businesscase-2024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Toelichting_veranderingen_aanvraag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529,52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Toelichting-veranderingen-aanvraa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Ruimtelijke-onderbouwing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ontwerp omgevingsvergunning Voortsweg 4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ontwerp-omgevingsvergunning-Voortsweg-4-Saasvel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Milieutekening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Milieutekening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Geveltekening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Geveltekenin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Advies ODT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Advies-ODT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Aanvraag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aanvragen-ontwerp-verklaring-van-geen-bedenkingen-realiseren-vleesvarkensstal-Voortsweg-4-4a-Saasveld/Aanvraag-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4" meta:paragraph-count="257" meta:word-count="449" meta:character-count="2898" meta:non-whitespace-character-count="2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