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Duits basisonderwijs (D66-PvdA)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154,76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Duits-basisonderwijs-D66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woningbehoefte jongeren en ouderen (D66-PvdA)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Motie-woningbehoefte-jongeren-en-ouderen-D66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factsheet Sociaal Domein (PvdA)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185,89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factsheet-Sociaal-Domein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biodiversiteit en de eikenprocessierups (PvdA)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243,63 KB</text:p>
          </table:table-cell>
          <table:table-cell table:style-name="Table3.A2" office:value-type="string">
            <text:p text:style-name="P22">
              <text:a xlink:type="simple" xlink:href="https://gemeenteraad.dinkelland.nl/documenten/Moties/biodiversiteit-en-de-eikenprocessierups-Pv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Stoomcabine Dorper Esch (PvdA-GroenLinks)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258,33 KB</text:p>
          </table:table-cell>
          <table:table-cell table:style-name="Table3.A2" office:value-type="string">
            <text:p text:style-name="P22">
              <text:a xlink:type="simple" xlink:href="https://gemeenteraad.dinkelland.nl/documenten/Moties/Stoomcabine-Dorper-Esch-PvdA-GroenLink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dividend crematoria (PvdA-CDA-GroenLinks)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220,46 KB</text:p>
          </table:table-cell>
          <table:table-cell table:style-name="Table3.A2" office:value-type="string">
            <text:p text:style-name="P22">
              <text:a xlink:type="simple" xlink:href="https://gemeenteraad.dinkelland.nl/documenten/Moties/dividend-crematoria-PvdA-CDA-GroenLink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[RIS-6297-1]zonnepanelen voor asbest (ABD-CDA)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739,31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6297-1-zonnepanelen-voor-asbest-ABD-C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[RIS-6296-1]ambitiedocument eneregietransitie (CDA-PvdA-ABD)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787,54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6296-1-ambitiedocument-eneregietransitie-CDA-PvdA-AB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00" meta:character-count="713" meta:non-whitespace-character-count="6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