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Waterstofhub (VVD-PvdA-BBD-LD-CDA)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836,50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Waterstofhub-VVD-PvdA-BBD-LD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Dinkellandpas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572,57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Dinkellandpas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stimuleren leesplezier en -leesbevordering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447,83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timuleren-leesplezier-en-leesbevordering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stichting alternatieve woonvormen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tichting-alternatieve-woonvormen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Behoud regie gemeente bij grootschalige energieopwekking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452,01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Behoud-regie-gemeente-bij-grootschalige-energieopwekking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Stichting EnergieFonds Dinkelland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528,46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tichting-EnergieFonds-Dinkelland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verduurzaming schoolgebouwen (VVD-PvdA-BBD)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839,11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verduurzaming-schoolgebouwen-VVD-PvdA-BB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Uitdaagrecht en online participatie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619,78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Uitdaagrecht-en-online-participatie-CDA-BB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sociaal-economische gevolgen Natura2000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974,75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ociaal-economische-gevolgen-Natura2000-CDA-BB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bedrijventerreinen (LD)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562,69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bedrijventerreinen-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oud papier inzamelen (LD)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581,32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ud-papier-inzamelen-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Eén loket armoede (LD-PvdA)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597,53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Een-loket-armoede-LD-Pv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Ouderen in beweging (LD-CDA-PvdA)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816,42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uderen-in-beweging-LD-CDA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Project Actief na school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845,19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Project-Actief-na-schoo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rondweg Weerselo (BBD)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903,29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rondweg-Weerselo-BB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Menstruatie Armoede (PvdA)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60,97 KB</text:p>
          </table:table-cell>
          <table:table-cell table:style-name="Table3.A2" office:value-type="string">
            <text:p text:style-name="P22">
              <text:a xlink:type="simple" xlink:href="https://gemeenteraad.dinkelland.nl/documenten/Moties/Menstruatie-Armoede-Pv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89" meta:character-count="1262" meta:non-whitespace-character-count="1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