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Waterstofhub (VVD-PvdA-BBD-LD-CDA)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836,50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Waterstofhub-VVD-PvdA-BBD-LD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Dinkellandpas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572,57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Dinkellandpas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stimuleren leesplezier en -leesbevordering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447,83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timuleren-leesplezier-en-leesbevordering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stichting alternatieve woonvormen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tichting-alternatieve-woonvormen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Behoud regie gemeente bij grootschalige energieopwekking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452,01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Behoud-regie-gemeente-bij-grootschalige-energieopwekking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Stichting EnergieFonds Dinkelland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528,46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tichting-EnergieFonds-Dinkelland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verduurzaming schoolgebouwen (VVD-PvdA-BBD)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839,11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verduurzaming-schoolgebouwen-VVD-PvdA-BB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Uitdaagrecht en online participatie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619,78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Uitdaagrecht-en-online-participatie-CDA-BB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sociaal-economische gevolgen Natura2000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974,75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ociaal-economische-gevolgen-Natura2000-CDA-BB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bedrijventerreinen (LD)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bedrijventerreinen-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oud papier inzamelen (LD)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581,32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oud-papier-inzamelen-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Eén loket armoede (LD-PvdA)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597,53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Een-loket-armoede-LD-Pv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Ouderen in beweging (LD-CDA-PvdA)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816,42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Ouderen-in-beweging-LD-CDA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Project Actief na school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845,19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Project-Actief-na-schoo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rondweg Weerselo (BBD)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903,29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rondweg-Weerselo-BB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Menstruatie Armoede (PvdA)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enstruatie-Armoede-Pv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89" meta:character-count="1262" meta:non-whitespace-character-count="1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