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2021-94 Centrumregeling Enschede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4-Centrumregeling-Enschede-Bescherm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2021-93 Grondprijsbrief 2022-bijlage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2021-93 Grondprijsbrief 2022-bijlage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2021-93 Grondprijsbrief 2022-bijlage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2021-93 Grondprijsbrief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2021-92 ontwikkelingen en stand van zaken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2-ontwikkelingen-en-stand-van-zaken-coronacri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2021-91 beantwoording schriftelijke vragen Burgerbelangen Dinkelland Ottershagenweg 3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1-beantwoording-schriftelijke-vragen-Burgerbelangen-Dinkelland-Ottershagenweg-3-Oud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2021-90 clientervaringsonderzoek Wmo en Jeugdwet Dinkelland 2020 -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2021-90 clientervaringsonderzoek Wmo en Jeugdwet Dinkelland 2020 - bijlage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2021-90 clientervaringsonderzoek Wmo en Jeugdwet Dinkelland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2021-89 verkenning economische potneties kanaaltraject Nordhorn-Denekamp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neties-kanaaltraject-Nordhorn-Denekamp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2021-89 verkenning economische potenties kanaaltraject Nordhorn-Denekamp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enties-kanaaltraject-Nordhorn-Denekamp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2021-89 verkenning economische potneties kanaaltraject Nordhorn-Denekamp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neties-kanaaltraject-Nordhorn-Denekam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2021-88 beleidsregel ondersteuningsgelden controle coronatoegangsbewijs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8-beleidsregel-ondersteuningsgelden-controle-coronatoegangsbewijs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2021-88 beleidsregel ondersteuningsgelden controle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8-beleidsregel-ondersteuningsgelden-controle-coronatoegangsbewij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7" meta:character-count="1530" meta:non-whitespace-character-count="1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