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2021-94 Centrumregeling Enschede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4-Centrumregeling-Enschede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2021-93 Grondprijsbrief 2022-bijlage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2021-93 Grondprijsbrief 2022-bijlage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2021-93 Grondprijsbrief 2022-bijlage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2021-93 Grondprijsbrief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2021-92 ontwikkelingen en stand van zaken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2-ontwikkelingen-en-stand-van-zaken-coronacri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2021-91 beantwoording schriftelijke vragen Burgerbelangen Dinkelland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1-beantwoording-schriftelijke-vragen-Burgerbelangen-Dinkelland-Ottershagenweg-3-Oud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2021-90 clientervaringsonderzoek Wmo en Jeugdwet Dinkelland 2020 -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2021-90 clientervaringsonderzoek Wmo en Jeugdwet Dinkelland 2020 - bijlage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2021-90 clientervaringsonderzoek Wmo en Jeugdwet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2021-89 verkenning economische potneties kanaaltraject Nordhorn-Denekamp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2021-89 verkenning economische potenties kanaaltraject Nordhorn-Denekamp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enties-kanaaltraject-Nordhorn-Denekamp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2021-89 verkenning economische potneties kanaaltraject Nordhorn-Denekamp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2021-88 beleidsregel ondersteuningsgelden controle coronatoegangsbewijs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2021-88 beleidsregel ondersteuningsgelden controle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7" meta:character-count="1530" meta:non-whitespace-character-count="1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