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2025-64 Ruimtelijk Economische Bouwsteen Twente 2040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2,17 MB</text:p>
          </table:table-cell>
          <table:table-cell table:style-name="Table3.A2" office:value-type="string">
            <text:p text:style-name="P22">
              <text:a xlink:type="simple" xlink:href="https://gemeenteraad.dinkelland.nl/Documenten/2025-64-Ruimtelijk-Economische-Bouwsteen-Twente-2040-bijla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2025-64 Ruimtelijk Economische Bouwsteen Twente 2040
              <text:span text:style-name="T2"/>
            </text:p>
            <text:p text:style-name="P3"/>
          </table:table-cell>
          <table:table-cell table:style-name="Table3.A2" office:value-type="string">
            <text:p text:style-name="P4">26-08-2025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163,29 KB</text:p>
          </table:table-cell>
          <table:table-cell table:style-name="Table3.A2" office:value-type="string">
            <text:p text:style-name="P22">
              <text:a xlink:type="simple" xlink:href="https://gemeenteraad.dinkelland.nl/Documenten/2025-64-Ruimtelijk-Economische-Bouwsteen-Twente-204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3" meta:character-count="290" meta:non-whitespace-character-count="2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