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Onderzoeken sociaal domein (LD)
              <text:span text:style-name="T2"/>
            </text:p>
            <text:p text:style-name="P3"/>
          </table:table-cell>
          <table:table-cell table:style-name="Table3.A2" office:value-type="string">
            <text:p text:style-name="P4">30-11-2020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284,23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Onderzoeken-sociaal-domein-L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Drive-in stembureau (VVD)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349,16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Drive-in-stembureau-VV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KGO beleid (Lokaal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16-11-2020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187,26 KB</text:p>
          </table:table-cell>
          <table:table-cell table:style-name="Table3.A2" office:value-type="string">
            <text:p text:style-name="P22">
              <text:a xlink:type="simple" xlink:href="https://gemeenteraad.dinkelland.nl/documenten/Schriftelijke-vragen/KGO-beleid-Lokaal-Dinkella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03" meta:non-whitespace-character-count="2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602231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602231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