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Voedselbank (BBD)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oedselbank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PPLG en kwaliteit van het oppervlaktewater (CDA)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PLG-en-kwaliteit-van-het-oppervlaktewater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Natura2000 (PD)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Natura2000-P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Bouwen naar behoefte in Dinkelland (CDA)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ouwen-naar-behoefte-in-Dinkelland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Fraude Landbouwgrond (PD)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Fraude-Landbouwgrond-P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9" meta:character-count="419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