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openbaar vervoer (CDA)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103,45 KB</text:p>
          </table:table-cell>
          <table:table-cell table:style-name="Table3.A2" office:value-type="string">
            <text:p text:style-name="P22">
              <text:a xlink:type="simple" xlink:href="https://gemeenteraad.dinkelland.nl/Documenten/openbaar-vervoer-C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krantenartikel illegale praktijken gelegaliseerd overheid kijkt weg bij uitbreiding in Nutter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76,94 KB</text:p>
          </table:table-cell>
          <table:table-cell table:style-name="Table3.A2" office:value-type="string">
            <text:p text:style-name="P22">
              <text:a xlink:type="simple" xlink:href="https://gemeenteraad.dinkelland.nl/Documenten/VVD-krantenartikel-illegale-praktijken-gelegaliseerd-overheid-kijkt-weg-bij-uitbreiding-in-Nut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Glasvezel Dinkelland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dinkelland.nl/Documenten/Glasvezel-Dinkelland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4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