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Groupcard - kadokaartactie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14-08-2025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498,81 KB</text:p>
          </table:table-cell>
          <table:table-cell table:style-name="Table3.A2" office:value-type="string">
            <text:p text:style-name="P22">
              <text:a xlink:type="simple" xlink:href="https://gemeenteraad.dinkelland.nl/Documenten/Groupcard-kadokaartactie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Verkenning uitbreiding Oldenzaal richting Lemselo
              <text:span text:style-name="T2"/>
            </text:p>
            <text:p text:style-name="P3"/>
          </table:table-cell>
          <table:table-cell table:style-name="Table3.A2" office:value-type="string">
            <text:p text:style-name="P4">14-08-2025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274,30 KB</text:p>
          </table:table-cell>
          <table:table-cell table:style-name="Table3.A2" office:value-type="string">
            <text:p text:style-name="P22">
              <text:a xlink:type="simple" xlink:href="https://gemeenteraad.dinkelland.nl/Documenten/Verkenning-uitbreiding-Oldenzaal-richting-Lemse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1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