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[RIS-6059-2]bibliotheek Weerselo (Lokaal Dinkelland) (2)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860,27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RIS-6059-2-bibliotheek-Weerselo-Lokaal-Dinkellan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[RIS-6050-2]Springendal loof en tophout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235,85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RIS-6050-2-Springendal-loof-en-tophou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70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